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CC" w:rsidRPr="00124ACC" w:rsidRDefault="00BD21D1" w:rsidP="00124AC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highlight w:val="yellow"/>
          <w:lang w:val="en-GB"/>
        </w:rPr>
      </w:pPr>
      <w:r w:rsidRPr="00124ACC">
        <w:rPr>
          <w:rFonts w:ascii="Times New Roman" w:hAnsi="Times New Roman" w:cs="Times New Roman"/>
          <w:b/>
          <w:color w:val="434343"/>
          <w:highlight w:val="yellow"/>
          <w:lang w:val="en-GB"/>
        </w:rPr>
        <w:t>CEEPUS</w:t>
      </w:r>
      <w:r w:rsidR="00124ACC" w:rsidRPr="00124ACC">
        <w:rPr>
          <w:rFonts w:ascii="Times New Roman" w:hAnsi="Times New Roman" w:cs="Times New Roman"/>
          <w:b/>
          <w:color w:val="434343"/>
          <w:highlight w:val="yellow"/>
          <w:lang w:val="en-GB"/>
        </w:rPr>
        <w:t xml:space="preserve"> -</w:t>
      </w:r>
      <w:r w:rsidR="00124ACC" w:rsidRPr="00124ACC">
        <w:rPr>
          <w:rFonts w:ascii="Times New Roman" w:hAnsi="Times New Roman" w:cs="Times New Roman"/>
          <w:b/>
          <w:color w:val="454545"/>
          <w:highlight w:val="yellow"/>
          <w:lang w:val="en-GB"/>
        </w:rPr>
        <w:t xml:space="preserve"> </w:t>
      </w:r>
      <w:r w:rsidR="00124ACC" w:rsidRPr="00124ACC">
        <w:rPr>
          <w:rFonts w:ascii="Times New Roman" w:hAnsi="Times New Roman" w:cs="Times New Roman"/>
          <w:b/>
          <w:color w:val="454545"/>
          <w:highlight w:val="yellow"/>
          <w:lang w:val="en-GB"/>
        </w:rPr>
        <w:t>Network title: ADRIART.CE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124ACC">
        <w:rPr>
          <w:rFonts w:ascii="Times New Roman" w:hAnsi="Times New Roman" w:cs="Times New Roman"/>
          <w:color w:val="454545"/>
          <w:highlight w:val="yellow"/>
          <w:lang w:val="en-GB"/>
        </w:rPr>
        <w:t>CIII</w:t>
      </w:r>
      <w:r w:rsidRPr="00124ACC">
        <w:rPr>
          <w:rFonts w:ascii="Cambria Math" w:hAnsi="Cambria Math" w:cs="Cambria Math"/>
          <w:color w:val="454545"/>
          <w:highlight w:val="yellow"/>
          <w:lang w:val="en-GB"/>
        </w:rPr>
        <w:t>‐</w:t>
      </w:r>
      <w:r w:rsidRPr="00124ACC">
        <w:rPr>
          <w:rFonts w:ascii="Times New Roman" w:hAnsi="Times New Roman" w:cs="Times New Roman"/>
          <w:color w:val="454545"/>
          <w:highlight w:val="yellow"/>
          <w:lang w:val="en-GB"/>
        </w:rPr>
        <w:t>SI</w:t>
      </w:r>
      <w:r w:rsidRPr="00124ACC">
        <w:rPr>
          <w:rFonts w:ascii="Cambria Math" w:hAnsi="Cambria Math" w:cs="Cambria Math"/>
          <w:color w:val="454545"/>
          <w:highlight w:val="yellow"/>
          <w:lang w:val="en-GB"/>
        </w:rPr>
        <w:t>‐</w:t>
      </w:r>
      <w:r w:rsidRPr="00124ACC">
        <w:rPr>
          <w:rFonts w:ascii="Times New Roman" w:hAnsi="Times New Roman" w:cs="Times New Roman"/>
          <w:color w:val="454545"/>
          <w:highlight w:val="yellow"/>
          <w:lang w:val="en-GB"/>
        </w:rPr>
        <w:t>0816</w:t>
      </w:r>
      <w:r w:rsidRPr="00124ACC">
        <w:rPr>
          <w:rFonts w:ascii="Cambria Math" w:hAnsi="Cambria Math" w:cs="Cambria Math"/>
          <w:color w:val="454545"/>
          <w:highlight w:val="yellow"/>
          <w:lang w:val="en-GB"/>
        </w:rPr>
        <w:t>‐</w:t>
      </w:r>
      <w:r w:rsidRPr="00124ACC">
        <w:rPr>
          <w:rFonts w:ascii="Times New Roman" w:hAnsi="Times New Roman" w:cs="Times New Roman"/>
          <w:color w:val="454545"/>
          <w:highlight w:val="yellow"/>
          <w:lang w:val="en-GB"/>
        </w:rPr>
        <w:t>04</w:t>
      </w:r>
      <w:r w:rsidRPr="00124ACC">
        <w:rPr>
          <w:rFonts w:ascii="Cambria Math" w:hAnsi="Cambria Math" w:cs="Cambria Math"/>
          <w:color w:val="454545"/>
          <w:highlight w:val="yellow"/>
          <w:lang w:val="en-GB"/>
        </w:rPr>
        <w:t>‐</w:t>
      </w:r>
      <w:r w:rsidRPr="00124ACC">
        <w:rPr>
          <w:rFonts w:ascii="Times New Roman" w:hAnsi="Times New Roman" w:cs="Times New Roman"/>
          <w:color w:val="454545"/>
          <w:highlight w:val="yellow"/>
          <w:lang w:val="en-GB"/>
        </w:rPr>
        <w:t>1617</w:t>
      </w:r>
    </w:p>
    <w:p w:rsidR="00124ACC" w:rsidRDefault="00124ACC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﴾Coordinator﴿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 xml:space="preserve">University: University of Nova </w:t>
      </w:r>
      <w:proofErr w:type="spellStart"/>
      <w:r w:rsidRPr="00BD21D1">
        <w:rPr>
          <w:rFonts w:ascii="Times New Roman" w:hAnsi="Times New Roman" w:cs="Times New Roman"/>
          <w:b/>
          <w:color w:val="454545"/>
          <w:lang w:val="en-GB"/>
        </w:rPr>
        <w:t>Gorica</w:t>
      </w:r>
      <w:proofErr w:type="spellEnd"/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Vipavska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cesta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13,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Rozna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Dolina</w:t>
      </w:r>
      <w:proofErr w:type="spellEnd"/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5000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Nova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Gorica</w:t>
      </w:r>
      <w:proofErr w:type="spellEnd"/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www.p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>ng.si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School of Arts</w:t>
      </w:r>
      <w:bookmarkStart w:id="0" w:name="_GoBack"/>
      <w:bookmarkEnd w:id="0"/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Vipavska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13</w:t>
      </w:r>
    </w:p>
    <w:p w:rsidR="009A6030" w:rsidRPr="00BD21D1" w:rsidRDefault="004309A3" w:rsidP="004309A3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SI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5000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Nova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Gorica</w:t>
      </w:r>
      <w:proofErr w:type="spellEnd"/>
    </w:p>
    <w:p w:rsidR="004309A3" w:rsidRPr="00BD21D1" w:rsidRDefault="004309A3" w:rsidP="004309A3">
      <w:pPr>
        <w:rPr>
          <w:rFonts w:ascii="Times New Roman" w:hAnsi="Times New Roman" w:cs="Times New Roman"/>
          <w:color w:val="1575AA"/>
          <w:lang w:val="en-GB"/>
        </w:rPr>
      </w:pPr>
      <w:r w:rsidRPr="00BD21D1">
        <w:rPr>
          <w:rFonts w:ascii="Times New Roman" w:hAnsi="Times New Roman" w:cs="Times New Roman"/>
          <w:color w:val="1575AA"/>
          <w:lang w:val="en-GB"/>
        </w:rPr>
        <w:t>*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﴾Partner﴿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>University: Graz University of Technology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Rechbauerstrasse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12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8010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Graz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www.tugraz.at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Institute of Contemporary Art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Inffeldgasse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10</w:t>
      </w:r>
    </w:p>
    <w:p w:rsidR="004309A3" w:rsidRPr="00BD21D1" w:rsidRDefault="004309A3" w:rsidP="004309A3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8010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Graz</w:t>
      </w:r>
    </w:p>
    <w:p w:rsidR="004309A3" w:rsidRPr="00BD21D1" w:rsidRDefault="004309A3" w:rsidP="004309A3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*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﴾Partner﴿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>University: University of Sarajevo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Obala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Kulina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Bana 7/II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71000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Sarajevo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+387﴾33﴿ 663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>392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www.unsa.ba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Academy of Fine Arts</w:t>
      </w:r>
    </w:p>
    <w:p w:rsidR="004309A3" w:rsidRPr="00BD21D1" w:rsidRDefault="004309A3" w:rsidP="004309A3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Maka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Dizdara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3</w:t>
      </w:r>
    </w:p>
    <w:p w:rsidR="004309A3" w:rsidRPr="00BD21D1" w:rsidRDefault="004309A3" w:rsidP="004309A3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71000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Sarajevo</w:t>
      </w:r>
    </w:p>
    <w:p w:rsidR="00BD21D1" w:rsidRPr="00BD21D1" w:rsidRDefault="00BD21D1" w:rsidP="004309A3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*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﴾Partner﴿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>University: University of Rijeka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Trg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brace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Mazuranica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10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51000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Rijeka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lastRenderedPageBreak/>
        <w:t>www.uniri.hr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Academy of Applied Arts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Slavka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Krautzeka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bb</w:t>
      </w:r>
    </w:p>
    <w:p w:rsidR="00BD21D1" w:rsidRP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51000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Rijeka</w:t>
      </w:r>
    </w:p>
    <w:p w:rsidR="00BD21D1" w:rsidRP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*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﴾Partner﴿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>University: University of Split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Livanjska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5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21000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Split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www.unist.hr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Academy of Art, Department of Film and Video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Zagrebacka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3</w:t>
      </w:r>
    </w:p>
    <w:p w:rsidR="00BD21D1" w:rsidRP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21 000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Split</w:t>
      </w:r>
    </w:p>
    <w:p w:rsidR="00BD21D1" w:rsidRP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*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﴾Partner﴿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>University: Hungarian University of Fine Arts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proofErr w:type="gramStart"/>
      <w:r w:rsidRPr="00BD21D1">
        <w:rPr>
          <w:rFonts w:ascii="Times New Roman" w:hAnsi="Times New Roman" w:cs="Times New Roman"/>
          <w:color w:val="454545"/>
          <w:lang w:val="en-GB"/>
        </w:rPr>
        <w:t>Andrássy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út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69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>71.</w:t>
      </w:r>
      <w:proofErr w:type="gramEnd"/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1062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Budapest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www.mke.hu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Intermedia Faculty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Kmety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Gy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. </w:t>
      </w:r>
      <w:proofErr w:type="spellStart"/>
      <w:proofErr w:type="gramStart"/>
      <w:r w:rsidRPr="00BD21D1">
        <w:rPr>
          <w:rFonts w:ascii="Times New Roman" w:hAnsi="Times New Roman" w:cs="Times New Roman"/>
          <w:color w:val="454545"/>
          <w:lang w:val="en-GB"/>
        </w:rPr>
        <w:t>utca</w:t>
      </w:r>
      <w:proofErr w:type="spellEnd"/>
      <w:proofErr w:type="gramEnd"/>
      <w:r w:rsidRPr="00BD21D1">
        <w:rPr>
          <w:rFonts w:ascii="Times New Roman" w:hAnsi="Times New Roman" w:cs="Times New Roman"/>
          <w:color w:val="454545"/>
          <w:lang w:val="en-GB"/>
        </w:rPr>
        <w:t xml:space="preserve"> 27.</w:t>
      </w:r>
    </w:p>
    <w:p w:rsidR="00BD21D1" w:rsidRP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1063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Budapest</w:t>
      </w:r>
    </w:p>
    <w:p w:rsidR="00BD21D1" w:rsidRP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*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34343"/>
          <w:lang w:val="en-GB"/>
        </w:rPr>
      </w:pPr>
      <w:r w:rsidRPr="00BD21D1">
        <w:rPr>
          <w:rFonts w:ascii="Times New Roman" w:hAnsi="Times New Roman" w:cs="Times New Roman"/>
          <w:color w:val="434343"/>
          <w:lang w:val="en-GB"/>
        </w:rPr>
        <w:t>Participating Unit ﴾Partner﴿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454545"/>
          <w:lang w:val="en-GB"/>
        </w:rPr>
      </w:pPr>
      <w:r w:rsidRPr="00BD21D1">
        <w:rPr>
          <w:rFonts w:ascii="Times New Roman" w:hAnsi="Times New Roman" w:cs="Times New Roman"/>
          <w:b/>
          <w:color w:val="454545"/>
          <w:lang w:val="en-GB"/>
        </w:rPr>
        <w:t>University: University of Arts in Belgrade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Kosancicev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</w:t>
      </w: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venac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29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11000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Belgrade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+381 11 62 97 85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www.arts.bg.ac.rs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>Unit: Faculty of Applied Arts</w:t>
      </w:r>
    </w:p>
    <w:p w:rsidR="00BD21D1" w:rsidRPr="00BD21D1" w:rsidRDefault="00BD21D1" w:rsidP="00BD21D1">
      <w:pPr>
        <w:autoSpaceDE w:val="0"/>
        <w:autoSpaceDN w:val="0"/>
        <w:adjustRightInd w:val="0"/>
        <w:rPr>
          <w:rFonts w:ascii="Times New Roman" w:hAnsi="Times New Roman" w:cs="Times New Roman"/>
          <w:color w:val="454545"/>
          <w:lang w:val="en-GB"/>
        </w:rPr>
      </w:pPr>
      <w:proofErr w:type="spellStart"/>
      <w:r w:rsidRPr="00BD21D1">
        <w:rPr>
          <w:rFonts w:ascii="Times New Roman" w:hAnsi="Times New Roman" w:cs="Times New Roman"/>
          <w:color w:val="454545"/>
          <w:lang w:val="en-GB"/>
        </w:rPr>
        <w:t>Kralja</w:t>
      </w:r>
      <w:proofErr w:type="spellEnd"/>
      <w:r w:rsidRPr="00BD21D1">
        <w:rPr>
          <w:rFonts w:ascii="Times New Roman" w:hAnsi="Times New Roman" w:cs="Times New Roman"/>
          <w:color w:val="454545"/>
          <w:lang w:val="en-GB"/>
        </w:rPr>
        <w:t xml:space="preserve"> Petra 4</w:t>
      </w:r>
    </w:p>
    <w:p w:rsid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  <w:r w:rsidRPr="00BD21D1">
        <w:rPr>
          <w:rFonts w:ascii="Times New Roman" w:hAnsi="Times New Roman" w:cs="Times New Roman"/>
          <w:color w:val="454545"/>
          <w:lang w:val="en-GB"/>
        </w:rPr>
        <w:t xml:space="preserve">11000 </w:t>
      </w:r>
      <w:r w:rsidRPr="00BD21D1">
        <w:rPr>
          <w:rFonts w:ascii="Cambria Math" w:hAnsi="Cambria Math" w:cs="Cambria Math"/>
          <w:color w:val="454545"/>
          <w:lang w:val="en-GB"/>
        </w:rPr>
        <w:t>‐</w:t>
      </w:r>
      <w:r w:rsidRPr="00BD21D1">
        <w:rPr>
          <w:rFonts w:ascii="Times New Roman" w:hAnsi="Times New Roman" w:cs="Times New Roman"/>
          <w:color w:val="454545"/>
          <w:lang w:val="en-GB"/>
        </w:rPr>
        <w:t xml:space="preserve"> Belgrade</w:t>
      </w:r>
    </w:p>
    <w:p w:rsid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</w:p>
    <w:p w:rsidR="00BD21D1" w:rsidRDefault="00BD21D1" w:rsidP="00BD21D1">
      <w:pPr>
        <w:rPr>
          <w:rFonts w:ascii="Times New Roman" w:hAnsi="Times New Roman" w:cs="Times New Roman"/>
          <w:color w:val="454545"/>
          <w:lang w:val="en-GB"/>
        </w:rPr>
      </w:pPr>
    </w:p>
    <w:p w:rsidR="00BD21D1" w:rsidRDefault="00BD21D1" w:rsidP="00BD21D1">
      <w:pPr>
        <w:rPr>
          <w:rFonts w:ascii="Times New Roman" w:hAnsi="Times New Roman" w:cs="Times New Roman"/>
          <w:color w:val="454545"/>
          <w:lang w:val="en-GB"/>
        </w:rPr>
        <w:sectPr w:rsidR="00BD21D1" w:rsidSect="00BD21D1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434343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b/>
          <w:color w:val="434343"/>
          <w:sz w:val="24"/>
          <w:szCs w:val="24"/>
          <w:lang w:val="en-GB"/>
        </w:rPr>
        <w:lastRenderedPageBreak/>
        <w:t>Planned Activities</w:t>
      </w:r>
    </w:p>
    <w:p w:rsid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</w:p>
    <w:p w:rsidR="00BD21D1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Planned mobility actions Note: All student actions are primarily planned for MA students a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nd final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year BA </w:t>
      </w: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students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﴾due to differences i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n programme types this might be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year 3 or 4﴿</w:t>
      </w:r>
    </w:p>
    <w:p w:rsidR="00D16BF2" w:rsidRPr="00D16BF2" w:rsidRDefault="00D16BF2" w:rsidP="00D16BF2">
      <w:pPr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a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﴿ MOBILITY ACTION 1 ﴾1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2 month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long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mobilities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; BA Y3+4 and MA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students﴿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students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participate at partner institution at ﴾for them﴿ relevant contents;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DURATION: 1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2 months/student;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STUDY PROGRAM: existing curricular subjects 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at host universities, tutorship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or co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mentorship for finishing BA or MA thesis;</w:t>
      </w:r>
    </w:p>
    <w:p w:rsidR="00D16BF2" w:rsidRPr="00D16BF2" w:rsidRDefault="00D16BF2" w:rsidP="00D16BF2">
      <w:pPr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CERTIFICATE: exams ﴾credits and marks﴿</w:t>
      </w:r>
    </w:p>
    <w:p w:rsidR="00D16BF2" w:rsidRPr="00D16BF2" w:rsidRDefault="00D16BF2" w:rsidP="00D16BF2">
      <w:pPr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b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﴿ MOBILITY ACTION 2 – short term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WORKSHOPS/PROJECTS ﴾5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10 days long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mobilities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; BA Y3+4, MA students﴿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students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participate at joint works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hop/project, organized by other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institution in network; DURATION: 5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10 days – depending on the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workshop/project;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STUDY PROGRAM: Groups of stude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nts come together for a focused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workshop activity lead cooperatively by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their local mentors, intensive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tutorship or co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mentorship for finishing BA or MA thesis;</w:t>
      </w:r>
    </w:p>
    <w:p w:rsidR="00D16BF2" w:rsidRPr="00D16BF2" w:rsidRDefault="00D16BF2" w:rsidP="00D16BF2">
      <w:pPr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d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﴿ MOBILITY ACTION 3 ﴾teachers short mobility﴿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teachers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participate at joint works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hop/project, organized by other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institution in network or guest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teach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es at undergraduate or graduate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programmes of partner institution;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DURATION: 3 days – 1 month /teacher;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STUDY PROGRAM: teachers either participat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e in the joint workshop/project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or present/teach locally relevant topics/subjects from the curricula of thei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r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home universities, other topics ﴾resea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rch projects, case studies, new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technologies...﴿, or connect courses across institutions ﴾blended learning﴿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by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mutual exchange;</w:t>
      </w:r>
    </w:p>
    <w:p w:rsidR="00D16BF2" w:rsidRPr="00D16BF2" w:rsidRDefault="00D16BF2" w:rsidP="00D16BF2">
      <w:pPr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• The network has already shown realisati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ons of several successful joint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production workshops/projects ﴾outside of CEEPUS﴿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across the region in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2011/12, 2012/13 and 2013/14: •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HiLoVv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Hidden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Live﴾r﴿s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of Venice 2011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13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http://www.adriart.net/hidden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lives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ghetto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hilovv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strikes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venetian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hattrick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http://www.adriart.net/hidden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lives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venice</w:t>
      </w:r>
      <w:proofErr w:type="spellEnd"/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revealed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second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time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http://www.adriart.net/discovering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hidden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livers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venice</w:t>
      </w:r>
      <w:proofErr w:type="spellEnd"/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http://vsu.ung.si/hilovv • GRAB.ROG.LAND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MonoMaterialisation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of Rog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﴾Ljubljana﴿ 11/2013 </w:t>
      </w:r>
      <w:hyperlink r:id="rId5" w:history="1"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http://www.adriart.net/</w:t>
        </w:r>
        <w:proofErr w:type="spellStart"/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grabroglandmonomaterialisation</w:t>
        </w:r>
        <w:proofErr w:type="spellEnd"/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</w:hyperlink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rog • Mapping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Komiža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Narratives ﴾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Komiža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, Croatia﴿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09/2013 http://www.adriart.net/mapping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komi</w:t>
      </w:r>
      <w:proofErr w:type="spellEnd"/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narratives • Site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specific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Rijeka itinerant workshop ﴾Rijeka﴿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06/2013 http://www.adriart.net/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sitespecific</w:t>
      </w:r>
      <w:proofErr w:type="spellEnd"/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rijeka</w:t>
      </w:r>
      <w:proofErr w:type="spellEnd"/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itinerant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workshop • Responsi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ve Art in the Public Realm, BIX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Perform ﴾Graz﴿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04/2013 </w:t>
      </w:r>
      <w:hyperlink r:id="rId6" w:history="1"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http://www.adriart.net/responsive</w:t>
        </w:r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art</w:t>
        </w:r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  <w:proofErr w:type="spellStart"/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publicrealm</w:t>
        </w:r>
        <w:proofErr w:type="spellEnd"/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</w:hyperlink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bix</w:t>
      </w:r>
      <w:proofErr w:type="spellEnd"/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perform • "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Lógos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Multitude 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Manifestations of Rog" workshop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in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RogLab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﴾Ljubljana﴿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01/2013 </w:t>
      </w:r>
      <w:hyperlink r:id="rId7" w:history="1"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http://www.adriart.net/l</w:t>
        </w:r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  <w:proofErr w:type="spellStart"/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gos</w:t>
        </w:r>
        <w:proofErr w:type="spellEnd"/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  <w:proofErr w:type="spellStart"/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multitudemanifestations</w:t>
        </w:r>
        <w:proofErr w:type="spellEnd"/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</w:hyperlink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rog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workshop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roglab</w:t>
      </w:r>
      <w:proofErr w:type="spellEnd"/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ljubljana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rog • Forecast ﴾Graz﴿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04/2014 http://www.adriart.net/mobility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2014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graz • Under the Flag of Displacement ﴾Rijeka﴿ 06/2014 http://www.adriart.net/mobility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2014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rijeka •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Mapping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Komiža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Narratives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09/2014 </w:t>
      </w:r>
      <w:hyperlink r:id="rId8" w:history="1">
        <w:r w:rsidRPr="000D70A4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http://www.adriart.net/mobility</w:t>
        </w:r>
        <w:r w:rsidRPr="000D70A4">
          <w:rPr>
            <w:rStyle w:val="Hiperhivatkozs"/>
            <w:rFonts w:ascii="Cambria Math" w:hAnsi="Cambria Math" w:cs="Cambria Math"/>
            <w:sz w:val="24"/>
            <w:szCs w:val="24"/>
            <w:lang w:val="en-GB"/>
          </w:rPr>
          <w:t>‐</w:t>
        </w:r>
      </w:hyperlink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2014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komiza • </w:t>
      </w: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The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concrete nature of the co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llaborations within the network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often prefers shorter stays, hence we are also applying for ﴾parts of﴿ these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proofErr w:type="gram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workshops/projects</w:t>
      </w:r>
      <w:proofErr w:type="gram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as short term "excurs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ions". These will be especially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meaningful to the network after the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DRIARt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programme financing from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the Erasmus fund expired in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Spetember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2014. Although the term excursion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does not fully apply in our case as the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lastRenderedPageBreak/>
        <w:t>wo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rkshops are much more than that 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they follow the form of an intensive 5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10 days face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to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face development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and production process with an off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and on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line blended pre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post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phase</w:t>
      </w:r>
      <w:proofErr w:type="spellEnd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with inputs from mentors from several 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institutions and often a public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event presenting the production itse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lf. As these collaborations are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production processes, they are limited in size ﴾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i.e.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can not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hold a large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number of students﴿. Also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c.f. links: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Mobilities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2012/13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http://www.adriart.net/mobilities</w:t>
      </w:r>
      <w:r w:rsidRPr="00D16BF2">
        <w:rPr>
          <w:rFonts w:ascii="Cambria Math" w:hAnsi="Cambria Math" w:cs="Cambria Math"/>
          <w:color w:val="454545"/>
          <w:sz w:val="24"/>
          <w:szCs w:val="24"/>
          <w:lang w:val="en-GB"/>
        </w:rPr>
        <w:t>‐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2013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Check out the list of ADRIART's first year of 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pilot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mobilities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, leading on to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blogs, photo and video archi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ves...; and: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Mobilities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2013/14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http://www.adriart.net/mobilities</w:t>
      </w:r>
    </w:p>
    <w:p w:rsidR="00D16BF2" w:rsidRPr="00D16BF2" w:rsidRDefault="00D16BF2" w:rsidP="00D16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54545"/>
          <w:sz w:val="24"/>
          <w:szCs w:val="24"/>
          <w:lang w:val="en-GB"/>
        </w:rPr>
      </w:pP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The next year was even </w:t>
      </w:r>
      <w:proofErr w:type="spellStart"/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tougher&amp;riche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in both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challenge&amp;experience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, </w:t>
      </w:r>
      <w:r w:rsidRPr="00D16BF2">
        <w:rPr>
          <w:rFonts w:ascii="Times New Roman" w:hAnsi="Times New Roman" w:cs="Times New Roman"/>
          <w:color w:val="454545"/>
          <w:sz w:val="24"/>
          <w:szCs w:val="24"/>
          <w:lang w:val="en-GB"/>
        </w:rPr>
        <w:t>reaching over</w:t>
      </w:r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100 </w:t>
      </w:r>
      <w:proofErr w:type="gramStart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>participants</w:t>
      </w:r>
      <w:proofErr w:type="gramEnd"/>
      <w:r>
        <w:rPr>
          <w:rFonts w:ascii="Times New Roman" w:hAnsi="Times New Roman" w:cs="Times New Roman"/>
          <w:color w:val="454545"/>
          <w:sz w:val="24"/>
          <w:szCs w:val="24"/>
          <w:lang w:val="en-GB"/>
        </w:rPr>
        <w:t xml:space="preserve"> altogether...</w:t>
      </w:r>
    </w:p>
    <w:sectPr w:rsidR="00D16BF2" w:rsidRPr="00D16BF2" w:rsidSect="00D1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A3"/>
    <w:rsid w:val="00124ACC"/>
    <w:rsid w:val="004309A3"/>
    <w:rsid w:val="009A6030"/>
    <w:rsid w:val="009C4372"/>
    <w:rsid w:val="00BD21D1"/>
    <w:rsid w:val="00D1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0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0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iart.net/mobility&#820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riart.net/l&#8208;gos&#8208;multitudemanifestations&#820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riart.net/responsive&#8208;art&#8208;publicrealm&#8208;" TargetMode="External"/><Relationship Id="rId5" Type="http://schemas.openxmlformats.org/officeDocument/2006/relationships/hyperlink" Target="http://www.adriart.net/grabroglandmonomaterialisation&#8208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Lafferton Luca</dc:creator>
  <cp:lastModifiedBy>Lafferton Luca</cp:lastModifiedBy>
  <cp:revision>5</cp:revision>
  <dcterms:created xsi:type="dcterms:W3CDTF">2016-08-08T10:08:00Z</dcterms:created>
  <dcterms:modified xsi:type="dcterms:W3CDTF">2016-08-08T11:01:00Z</dcterms:modified>
</cp:coreProperties>
</file>